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389D74E8" w:rsidR="00A71E0B" w:rsidRPr="007B332D" w:rsidRDefault="007B332D" w:rsidP="00A71E0B">
      <w:pPr>
        <w:spacing w:after="0" w:line="240" w:lineRule="auto"/>
        <w:jc w:val="center"/>
        <w:rPr>
          <w:rFonts w:ascii="Sylfaen" w:hAnsi="Sylfaen" w:cs="Sylfaen"/>
          <w:b/>
        </w:rPr>
      </w:pPr>
      <w:r>
        <w:rPr>
          <w:rFonts w:ascii="Sylfaen" w:hAnsi="Sylfaen" w:cs="Sylfaen"/>
          <w:b/>
          <w:lang w:val="ka-GE"/>
        </w:rPr>
        <w:t xml:space="preserve">სპეც ფეხსაცმელების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CF288EC"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7B332D">
        <w:rPr>
          <w:rFonts w:ascii="Sylfaen" w:hAnsi="Sylfaen" w:cs="Sylfaen"/>
          <w:b/>
          <w:lang w:val="ka-GE"/>
        </w:rPr>
        <w:t>სპეც ფეხსაცმელების შესყიდვასთან დაკავშირებით</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7323E8E4"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Pr="005B1472">
        <w:rPr>
          <w:rFonts w:ascii="Sylfaen" w:hAnsi="Sylfaen" w:cs="Sylfaen"/>
          <w:lang w:val="ka-GE"/>
        </w:rPr>
        <w:t>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CA0BCD0" w:rsidR="000353F8" w:rsidRDefault="007B332D" w:rsidP="00153785">
      <w:pPr>
        <w:spacing w:line="240" w:lineRule="auto"/>
        <w:rPr>
          <w:rFonts w:ascii="Sylfaen" w:hAnsi="Sylfaen" w:cs="Sylfaen"/>
          <w:lang w:val="ka-GE"/>
        </w:rPr>
      </w:pPr>
      <w:r>
        <w:rPr>
          <w:rFonts w:ascii="Sylfaen" w:hAnsi="Sylfaen" w:cs="Sylfaen"/>
          <w:lang w:val="ka-GE"/>
        </w:rPr>
        <w:t xml:space="preserve">სპეც ფეხსაცმელების რაოდენობა და სპეციფიკაცია მოცემულია დანართი N1-ის სახით. </w:t>
      </w:r>
    </w:p>
    <w:p w14:paraId="6D7858F8" w14:textId="043421B1" w:rsidR="00391B0E" w:rsidRDefault="00A85F33" w:rsidP="00153785">
      <w:pPr>
        <w:spacing w:line="240" w:lineRule="auto"/>
        <w:rPr>
          <w:rFonts w:ascii="Sylfaen" w:hAnsi="Sylfaen" w:cs="Sylfaen"/>
          <w:lang w:val="ka-GE"/>
        </w:rPr>
      </w:pPr>
      <w:hyperlink r:id="rId12" w:history="1">
        <w:r w:rsidR="00391B0E" w:rsidRPr="00391B0E">
          <w:rPr>
            <w:rStyle w:val="Hyperlink"/>
            <w:rFonts w:ascii="Sylfaen" w:hAnsi="Sylfaen" w:cs="Sylfaen"/>
            <w:lang w:val="ka-GE"/>
          </w:rPr>
          <w:t>დანართი N1.xlsx</w:t>
        </w:r>
      </w:hyperlink>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4E3D56CE"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E3EBE1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F64D93">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0DDD8B22" w14:textId="07DC49EE" w:rsidR="00391B0E" w:rsidRDefault="00A85F33" w:rsidP="00F90B03">
      <w:pPr>
        <w:rPr>
          <w:rFonts w:ascii="Sylfaen" w:hAnsi="Sylfaen" w:cs="Sylfaen"/>
          <w:b/>
          <w:lang w:val="ka-GE"/>
        </w:rPr>
      </w:pPr>
      <w:hyperlink r:id="rId13" w:history="1">
        <w:r w:rsidR="00391B0E" w:rsidRPr="00391B0E">
          <w:rPr>
            <w:rStyle w:val="Hyperlink"/>
            <w:rFonts w:ascii="Sylfaen" w:hAnsi="Sylfaen" w:cs="Sylfaen"/>
            <w:b/>
            <w:lang w:val="ka-GE"/>
          </w:rPr>
          <w:t>დანართი N2.xlsx</w:t>
        </w:r>
      </w:hyperlink>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8788DCD"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lastRenderedPageBreak/>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FEEE03"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391B0E">
        <w:rPr>
          <w:rFonts w:ascii="Sylfaen" w:hAnsi="Sylfaen" w:cs="Sylfaen"/>
          <w:lang w:val="ka-GE"/>
        </w:rPr>
        <w:t>2</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519FD02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 xml:space="preserve">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 xml:space="preserve">ამონაწერი სამეწარმეო რეესტრიდან, განახლებული ბოლო 2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 ტექნიკური დოკუმენტაციის შესწავლის 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lastRenderedPageBreak/>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4"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bookmarkStart w:id="0" w:name="_GoBack"/>
      <w:bookmarkEnd w:id="0"/>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0ABB" w14:textId="77777777" w:rsidR="00A85F33" w:rsidRDefault="00A85F33" w:rsidP="007902EA">
      <w:pPr>
        <w:spacing w:after="0" w:line="240" w:lineRule="auto"/>
      </w:pPr>
      <w:r>
        <w:separator/>
      </w:r>
    </w:p>
  </w:endnote>
  <w:endnote w:type="continuationSeparator" w:id="0">
    <w:p w14:paraId="224F40A0" w14:textId="77777777" w:rsidR="00A85F33" w:rsidRDefault="00A85F3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74AB4F" w:rsidR="004A3BD8" w:rsidRDefault="004A3BD8">
        <w:pPr>
          <w:pStyle w:val="Footer"/>
          <w:jc w:val="right"/>
        </w:pPr>
        <w:r>
          <w:fldChar w:fldCharType="begin"/>
        </w:r>
        <w:r>
          <w:instrText xml:space="preserve"> PAGE   \* MERGEFORMAT </w:instrText>
        </w:r>
        <w:r>
          <w:fldChar w:fldCharType="separate"/>
        </w:r>
        <w:r w:rsidR="00A82C8B">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C348" w14:textId="77777777" w:rsidR="00A85F33" w:rsidRDefault="00A85F33" w:rsidP="007902EA">
      <w:pPr>
        <w:spacing w:after="0" w:line="240" w:lineRule="auto"/>
      </w:pPr>
      <w:r>
        <w:separator/>
      </w:r>
    </w:p>
  </w:footnote>
  <w:footnote w:type="continuationSeparator" w:id="0">
    <w:p w14:paraId="34C99150" w14:textId="77777777" w:rsidR="00A85F33" w:rsidRDefault="00A85F3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2.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07C9-AFB1-4571-A038-C9D55327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18</cp:revision>
  <cp:lastPrinted>2015-07-27T06:36:00Z</cp:lastPrinted>
  <dcterms:created xsi:type="dcterms:W3CDTF">2020-05-28T13:48:00Z</dcterms:created>
  <dcterms:modified xsi:type="dcterms:W3CDTF">2021-12-10T15:54:00Z</dcterms:modified>
</cp:coreProperties>
</file>